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D2E" w:rsidRPr="009B3CCB" w:rsidRDefault="00CE4ECA" w:rsidP="00794190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Aanbeveling voor een synchronisatie van de behandelingen ter bestrijding van </w:t>
      </w:r>
      <w:proofErr w:type="spellStart"/>
      <w:r>
        <w:rPr>
          <w:b/>
          <w:sz w:val="20"/>
          <w:szCs w:val="20"/>
          <w:u w:val="single"/>
        </w:rPr>
        <w:t>varroamijt</w:t>
      </w:r>
      <w:proofErr w:type="spellEnd"/>
      <w:r>
        <w:rPr>
          <w:b/>
          <w:sz w:val="20"/>
          <w:szCs w:val="20"/>
          <w:u w:val="single"/>
        </w:rPr>
        <w:t xml:space="preserve"> door alle imkers.</w:t>
      </w:r>
    </w:p>
    <w:p w:rsidR="00B17D93" w:rsidRPr="00BF032E" w:rsidRDefault="00B17D93" w:rsidP="00B17D9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Voortdurend de besmettingsgraad door </w:t>
      </w:r>
      <w:proofErr w:type="spellStart"/>
      <w:r>
        <w:rPr>
          <w:sz w:val="20"/>
          <w:szCs w:val="20"/>
        </w:rPr>
        <w:t>varroamijt</w:t>
      </w:r>
      <w:proofErr w:type="spellEnd"/>
      <w:r>
        <w:rPr>
          <w:sz w:val="20"/>
          <w:szCs w:val="20"/>
        </w:rPr>
        <w:t xml:space="preserve"> evalueren.  </w:t>
      </w:r>
    </w:p>
    <w:p w:rsidR="00B17D93" w:rsidRPr="00BF032E" w:rsidRDefault="00B17D93" w:rsidP="00B17D93">
      <w:pPr>
        <w:pStyle w:val="Paragraphedeliste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proofErr w:type="gramStart"/>
      <w:r>
        <w:rPr>
          <w:sz w:val="20"/>
          <w:szCs w:val="20"/>
        </w:rPr>
        <w:t>juni :</w:t>
      </w:r>
      <w:proofErr w:type="gramEnd"/>
      <w:r>
        <w:rPr>
          <w:sz w:val="20"/>
          <w:szCs w:val="20"/>
        </w:rPr>
        <w:t xml:space="preserve">  Gedurende 3 dagen de natuurlijke mijtenval controleren door de </w:t>
      </w:r>
      <w:proofErr w:type="spellStart"/>
      <w:r>
        <w:rPr>
          <w:sz w:val="20"/>
          <w:szCs w:val="20"/>
        </w:rPr>
        <w:t>varroamijten</w:t>
      </w:r>
      <w:proofErr w:type="spellEnd"/>
      <w:r>
        <w:rPr>
          <w:sz w:val="20"/>
          <w:szCs w:val="20"/>
        </w:rPr>
        <w:t xml:space="preserve"> te tellen die op een wit blad vallen.</w:t>
      </w:r>
    </w:p>
    <w:p w:rsidR="00B17D93" w:rsidRPr="00BF032E" w:rsidRDefault="00B17D93" w:rsidP="00B17D93">
      <w:pPr>
        <w:pStyle w:val="Paragraphedeliste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 september: telling van de opzittende </w:t>
      </w:r>
      <w:proofErr w:type="spellStart"/>
      <w:r>
        <w:rPr>
          <w:sz w:val="20"/>
          <w:szCs w:val="20"/>
        </w:rPr>
        <w:t>varroamijten</w:t>
      </w:r>
      <w:proofErr w:type="spellEnd"/>
      <w:r>
        <w:rPr>
          <w:sz w:val="20"/>
          <w:szCs w:val="20"/>
        </w:rPr>
        <w:t xml:space="preserve"> op 300 bijen met de poedersuikermethode.</w:t>
      </w:r>
    </w:p>
    <w:p w:rsidR="00B17D93" w:rsidRPr="00BF032E" w:rsidRDefault="00B17D93" w:rsidP="00B17D9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Tegelijkertijd alle kolonies behandelen die in eenzelfde bijenstand aanwezig zijn.</w:t>
      </w:r>
    </w:p>
    <w:p w:rsidR="001A5D6A" w:rsidRPr="00BF032E" w:rsidRDefault="001A5D6A" w:rsidP="00B17D9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Fysieke bestrijdingsmethoden genieten de </w:t>
      </w:r>
      <w:proofErr w:type="gramStart"/>
      <w:r>
        <w:rPr>
          <w:sz w:val="20"/>
          <w:szCs w:val="20"/>
        </w:rPr>
        <w:t>voorkeur :</w:t>
      </w:r>
      <w:proofErr w:type="gramEnd"/>
      <w:r>
        <w:rPr>
          <w:sz w:val="20"/>
          <w:szCs w:val="20"/>
        </w:rPr>
        <w:t xml:space="preserve"> </w:t>
      </w:r>
    </w:p>
    <w:p w:rsidR="001A5D6A" w:rsidRPr="00BF032E" w:rsidRDefault="00A00F32" w:rsidP="001A5D6A">
      <w:pPr>
        <w:pStyle w:val="Paragraphedeliste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Zodra in het begin van het seizoen wordt vastgesteld dat er op drie dagen tijd meer dan één </w:t>
      </w:r>
      <w:proofErr w:type="spellStart"/>
      <w:r>
        <w:rPr>
          <w:sz w:val="20"/>
          <w:szCs w:val="20"/>
        </w:rPr>
        <w:t>varromijt</w:t>
      </w:r>
      <w:proofErr w:type="spellEnd"/>
      <w:r>
        <w:rPr>
          <w:sz w:val="20"/>
          <w:szCs w:val="20"/>
        </w:rPr>
        <w:t xml:space="preserve"> op natuurlijke wijze valt, dan moet het darrenbroed 21 dagen na het verschijnen worden verwijderd (deze stap moet worden herhaald indien er opnieuw </w:t>
      </w:r>
      <w:proofErr w:type="gramStart"/>
      <w:r>
        <w:rPr>
          <w:sz w:val="20"/>
          <w:szCs w:val="20"/>
        </w:rPr>
        <w:t>broed</w:t>
      </w:r>
      <w:proofErr w:type="gramEnd"/>
      <w:r>
        <w:rPr>
          <w:sz w:val="20"/>
          <w:szCs w:val="20"/>
        </w:rPr>
        <w:t xml:space="preserve"> verschijnt).</w:t>
      </w:r>
    </w:p>
    <w:p w:rsidR="009B3CCB" w:rsidRDefault="00A00F32" w:rsidP="001A5D6A">
      <w:pPr>
        <w:pStyle w:val="Paragraphedeliste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Overgaan tot de isolatie van de koningin (koninginnenkooi, van 21 juni tot 15 juli), de onderbreking van de </w:t>
      </w:r>
      <w:proofErr w:type="spellStart"/>
      <w:r>
        <w:rPr>
          <w:sz w:val="20"/>
          <w:szCs w:val="20"/>
        </w:rPr>
        <w:t>eileg</w:t>
      </w:r>
      <w:proofErr w:type="spellEnd"/>
      <w:r>
        <w:rPr>
          <w:sz w:val="20"/>
          <w:szCs w:val="20"/>
        </w:rPr>
        <w:t xml:space="preserve"> en het verwijderen van het verzegelde broed. Buiten de drachtperiode mag dit worden gecombineerd met een chemische behandeling van de volwassen bijen. </w:t>
      </w:r>
    </w:p>
    <w:p w:rsidR="001A5D6A" w:rsidRPr="00A00F32" w:rsidRDefault="00A00F32" w:rsidP="00A00F32">
      <w:pPr>
        <w:pStyle w:val="Paragraphedeliste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 de zomer moet worden overgegaan tot de verwijdering van het besmette verzegelde broed alvorens de winterbijen worden geboren (van 01 </w:t>
      </w:r>
      <w:proofErr w:type="gramStart"/>
      <w:r>
        <w:rPr>
          <w:sz w:val="20"/>
          <w:szCs w:val="20"/>
        </w:rPr>
        <w:t>juli  tot</w:t>
      </w:r>
      <w:proofErr w:type="gramEnd"/>
      <w:r>
        <w:rPr>
          <w:sz w:val="20"/>
          <w:szCs w:val="20"/>
        </w:rPr>
        <w:t xml:space="preserve"> 15 augustus). Buiten de drachtperiode mag dit worden gecombineerd met een chemische behandeling van de volwassen bijen. </w:t>
      </w:r>
    </w:p>
    <w:p w:rsidR="00794190" w:rsidRPr="00794190" w:rsidRDefault="00322BE6" w:rsidP="009B3CCB">
      <w:pPr>
        <w:pStyle w:val="Paragraphedeliste"/>
        <w:numPr>
          <w:ilvl w:val="0"/>
          <w:numId w:val="1"/>
        </w:numPr>
      </w:pPr>
      <w:r>
        <w:rPr>
          <w:sz w:val="20"/>
          <w:szCs w:val="20"/>
        </w:rPr>
        <w:t xml:space="preserve">Chemische </w:t>
      </w:r>
      <w:proofErr w:type="gramStart"/>
      <w:r>
        <w:rPr>
          <w:sz w:val="20"/>
          <w:szCs w:val="20"/>
        </w:rPr>
        <w:t>bestrijding :</w:t>
      </w:r>
      <w:proofErr w:type="gramEnd"/>
      <w:r>
        <w:rPr>
          <w:sz w:val="20"/>
          <w:szCs w:val="20"/>
        </w:rPr>
        <w:t xml:space="preserve"> dit moet worden vermeden tijdens de drachtperiode en worden gecombineerd met de fysieke methodes.</w:t>
      </w:r>
    </w:p>
    <w:p w:rsidR="00B17D93" w:rsidRDefault="00794190" w:rsidP="00794190">
      <w:pPr>
        <w:pStyle w:val="Paragraphedeliste"/>
      </w:pPr>
      <w:r>
        <w:rPr>
          <w:sz w:val="20"/>
          <w:szCs w:val="20"/>
        </w:rPr>
        <w:t>De levering van geneesmiddelen is gereglementeerd. Vraag advies aan uw dierenarts.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89"/>
        <w:gridCol w:w="2309"/>
        <w:gridCol w:w="2479"/>
        <w:gridCol w:w="2385"/>
      </w:tblGrid>
      <w:tr w:rsidR="00CE4ECA" w:rsidTr="00B17D93">
        <w:tc>
          <w:tcPr>
            <w:tcW w:w="2689" w:type="dxa"/>
          </w:tcPr>
          <w:p w:rsidR="00CE4ECA" w:rsidRPr="00A00F32" w:rsidRDefault="00CE4E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Lente</w:t>
            </w:r>
          </w:p>
          <w:p w:rsidR="00CE4ECA" w:rsidRPr="00D1072F" w:rsidRDefault="00CE4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Vóór de drachtperiode</w:t>
            </w:r>
          </w:p>
          <w:p w:rsidR="000C6203" w:rsidRPr="00D1072F" w:rsidRDefault="000C6203">
            <w:pPr>
              <w:rPr>
                <w:sz w:val="20"/>
                <w:szCs w:val="20"/>
              </w:rPr>
            </w:pPr>
          </w:p>
          <w:p w:rsidR="00A00F32" w:rsidRPr="00D1072F" w:rsidRDefault="00A00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Indien er &gt;1 </w:t>
            </w:r>
            <w:proofErr w:type="spellStart"/>
            <w:r>
              <w:rPr>
                <w:sz w:val="20"/>
                <w:szCs w:val="20"/>
              </w:rPr>
              <w:t>varroamijt</w:t>
            </w:r>
            <w:proofErr w:type="spellEnd"/>
            <w:r>
              <w:rPr>
                <w:sz w:val="20"/>
                <w:szCs w:val="20"/>
              </w:rPr>
              <w:t xml:space="preserve"> per dag valt</w:t>
            </w:r>
          </w:p>
          <w:p w:rsidR="000C6203" w:rsidRPr="00D1072F" w:rsidRDefault="000C6203">
            <w:pPr>
              <w:rPr>
                <w:sz w:val="20"/>
                <w:szCs w:val="20"/>
              </w:rPr>
            </w:pPr>
          </w:p>
          <w:p w:rsidR="00A00F32" w:rsidRPr="00CD184B" w:rsidRDefault="00A00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Bij afwezigheid van verzegeld broed</w:t>
            </w:r>
          </w:p>
        </w:tc>
        <w:tc>
          <w:tcPr>
            <w:tcW w:w="4307" w:type="dxa"/>
          </w:tcPr>
          <w:p w:rsidR="00CE4ECA" w:rsidRDefault="00CD184B" w:rsidP="00CD184B">
            <w:pPr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VarroMed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41A0E" w:rsidRDefault="00F41A0E" w:rsidP="00CD184B">
            <w:pPr>
              <w:jc w:val="center"/>
              <w:rPr>
                <w:sz w:val="18"/>
                <w:szCs w:val="20"/>
              </w:rPr>
            </w:pPr>
          </w:p>
          <w:p w:rsidR="00B87C66" w:rsidRDefault="00B87C66" w:rsidP="00CD184B">
            <w:pPr>
              <w:jc w:val="center"/>
              <w:rPr>
                <w:sz w:val="18"/>
                <w:szCs w:val="20"/>
              </w:rPr>
            </w:pPr>
          </w:p>
          <w:p w:rsidR="00B87C66" w:rsidRDefault="00B87C66" w:rsidP="00CD184B">
            <w:pPr>
              <w:jc w:val="center"/>
              <w:rPr>
                <w:sz w:val="18"/>
                <w:szCs w:val="20"/>
              </w:rPr>
            </w:pPr>
          </w:p>
          <w:p w:rsidR="00B87C66" w:rsidRDefault="00B87C66" w:rsidP="00CD184B">
            <w:pPr>
              <w:jc w:val="center"/>
              <w:rPr>
                <w:sz w:val="18"/>
                <w:szCs w:val="20"/>
              </w:rPr>
            </w:pPr>
          </w:p>
          <w:p w:rsidR="00F41A0E" w:rsidRDefault="00F41A0E" w:rsidP="00CD184B">
            <w:pPr>
              <w:jc w:val="center"/>
              <w:rPr>
                <w:sz w:val="18"/>
                <w:szCs w:val="20"/>
              </w:rPr>
            </w:pPr>
          </w:p>
          <w:p w:rsidR="00BF032E" w:rsidRDefault="00BF032E" w:rsidP="00257633">
            <w:pPr>
              <w:rPr>
                <w:sz w:val="18"/>
                <w:szCs w:val="20"/>
              </w:rPr>
            </w:pPr>
          </w:p>
          <w:p w:rsidR="00F41A0E" w:rsidRPr="00CD184B" w:rsidRDefault="00BE4419" w:rsidP="00BF032E">
            <w:pPr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Oxuvar</w:t>
            </w:r>
            <w:proofErr w:type="spellEnd"/>
            <w:r>
              <w:rPr>
                <w:sz w:val="18"/>
                <w:szCs w:val="20"/>
              </w:rPr>
              <w:t xml:space="preserve">  </w:t>
            </w:r>
          </w:p>
        </w:tc>
        <w:tc>
          <w:tcPr>
            <w:tcW w:w="3499" w:type="dxa"/>
          </w:tcPr>
          <w:p w:rsidR="00BF032E" w:rsidRDefault="00CD1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Gieten tussen de broedramen (de behandeling herhalen met intervallen van 6 dagen indien &gt; 10 </w:t>
            </w:r>
            <w:proofErr w:type="spellStart"/>
            <w:r>
              <w:rPr>
                <w:sz w:val="20"/>
                <w:szCs w:val="20"/>
              </w:rPr>
              <w:t>varroamijten</w:t>
            </w:r>
            <w:proofErr w:type="spellEnd"/>
            <w:r>
              <w:rPr>
                <w:sz w:val="20"/>
                <w:szCs w:val="20"/>
              </w:rPr>
              <w:t>/dag vallen)</w:t>
            </w:r>
          </w:p>
          <w:p w:rsidR="00257633" w:rsidRDefault="00257633">
            <w:pPr>
              <w:rPr>
                <w:sz w:val="20"/>
                <w:szCs w:val="20"/>
              </w:rPr>
            </w:pPr>
          </w:p>
          <w:p w:rsidR="00BF032E" w:rsidRPr="00CD184B" w:rsidRDefault="00BF0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enkele behandeling (Buitentemperatuur &gt; 5°C)</w:t>
            </w:r>
          </w:p>
        </w:tc>
        <w:tc>
          <w:tcPr>
            <w:tcW w:w="3499" w:type="dxa"/>
          </w:tcPr>
          <w:p w:rsidR="00CE4ECA" w:rsidRDefault="00CD1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Oxaalzuur 44mg/Mierenzuur 5 mg</w:t>
            </w:r>
          </w:p>
          <w:p w:rsidR="00BF032E" w:rsidRDefault="00BF032E">
            <w:pPr>
              <w:rPr>
                <w:sz w:val="20"/>
                <w:szCs w:val="20"/>
              </w:rPr>
            </w:pPr>
          </w:p>
          <w:p w:rsidR="00BF032E" w:rsidRDefault="00BF032E">
            <w:pPr>
              <w:rPr>
                <w:sz w:val="20"/>
                <w:szCs w:val="20"/>
              </w:rPr>
            </w:pPr>
          </w:p>
          <w:p w:rsidR="00B87C66" w:rsidRDefault="00B87C66">
            <w:pPr>
              <w:rPr>
                <w:sz w:val="20"/>
                <w:szCs w:val="20"/>
              </w:rPr>
            </w:pPr>
          </w:p>
          <w:p w:rsidR="00010F62" w:rsidRDefault="00010F62">
            <w:pPr>
              <w:rPr>
                <w:sz w:val="20"/>
                <w:szCs w:val="20"/>
              </w:rPr>
            </w:pPr>
          </w:p>
          <w:p w:rsidR="00BF032E" w:rsidRDefault="00BF032E" w:rsidP="00BF032E">
            <w:pPr>
              <w:rPr>
                <w:sz w:val="20"/>
                <w:szCs w:val="20"/>
              </w:rPr>
            </w:pPr>
          </w:p>
          <w:p w:rsidR="00BF032E" w:rsidRPr="00CD184B" w:rsidRDefault="00BF0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Oxaalzuur</w:t>
            </w:r>
          </w:p>
        </w:tc>
      </w:tr>
      <w:tr w:rsidR="00CE4ECA" w:rsidTr="00B17D93">
        <w:tc>
          <w:tcPr>
            <w:tcW w:w="2689" w:type="dxa"/>
          </w:tcPr>
          <w:p w:rsidR="00CE4ECA" w:rsidRPr="000C6203" w:rsidRDefault="00B17D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Tijdens de drachtperiode</w:t>
            </w:r>
          </w:p>
        </w:tc>
        <w:tc>
          <w:tcPr>
            <w:tcW w:w="4307" w:type="dxa"/>
          </w:tcPr>
          <w:p w:rsidR="00CE4ECA" w:rsidRPr="00CD184B" w:rsidRDefault="00CD184B" w:rsidP="00CD1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 fysieke bestrijding</w:t>
            </w:r>
          </w:p>
        </w:tc>
        <w:tc>
          <w:tcPr>
            <w:tcW w:w="3499" w:type="dxa"/>
          </w:tcPr>
          <w:p w:rsidR="00CE4ECA" w:rsidRPr="00CD184B" w:rsidRDefault="00CE4ECA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:rsidR="00CE4ECA" w:rsidRPr="00CD184B" w:rsidRDefault="00CE4ECA">
            <w:pPr>
              <w:rPr>
                <w:sz w:val="20"/>
                <w:szCs w:val="20"/>
              </w:rPr>
            </w:pPr>
          </w:p>
        </w:tc>
      </w:tr>
      <w:tr w:rsidR="00CE4ECA" w:rsidRPr="00BF032E" w:rsidTr="00B17D93">
        <w:tc>
          <w:tcPr>
            <w:tcW w:w="2689" w:type="dxa"/>
          </w:tcPr>
          <w:p w:rsidR="00CE4ECA" w:rsidRPr="000C6203" w:rsidRDefault="00B17D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Zomer</w:t>
            </w:r>
          </w:p>
          <w:p w:rsidR="00C90A9B" w:rsidRDefault="00C90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de honingoo</w:t>
            </w:r>
            <w:r w:rsidR="00A02289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st</w:t>
            </w:r>
          </w:p>
          <w:p w:rsidR="00010F62" w:rsidRDefault="00010F62">
            <w:pPr>
              <w:rPr>
                <w:sz w:val="20"/>
                <w:szCs w:val="20"/>
              </w:rPr>
            </w:pPr>
          </w:p>
          <w:p w:rsidR="00010F62" w:rsidRDefault="00010F62">
            <w:pPr>
              <w:rPr>
                <w:sz w:val="20"/>
                <w:szCs w:val="20"/>
              </w:rPr>
            </w:pPr>
          </w:p>
          <w:p w:rsidR="00010F62" w:rsidRDefault="00010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Idem</w:t>
            </w:r>
          </w:p>
          <w:p w:rsidR="00010F62" w:rsidRDefault="00010F62">
            <w:pPr>
              <w:rPr>
                <w:sz w:val="20"/>
                <w:szCs w:val="20"/>
              </w:rPr>
            </w:pPr>
          </w:p>
          <w:p w:rsidR="00010F62" w:rsidRDefault="00010F62">
            <w:pPr>
              <w:rPr>
                <w:sz w:val="20"/>
                <w:szCs w:val="20"/>
              </w:rPr>
            </w:pPr>
          </w:p>
          <w:p w:rsidR="00010F62" w:rsidRDefault="00010F62">
            <w:pPr>
              <w:rPr>
                <w:sz w:val="20"/>
                <w:szCs w:val="20"/>
              </w:rPr>
            </w:pPr>
          </w:p>
          <w:p w:rsidR="00010F62" w:rsidRDefault="00010F62">
            <w:pPr>
              <w:rPr>
                <w:sz w:val="20"/>
                <w:szCs w:val="20"/>
              </w:rPr>
            </w:pPr>
          </w:p>
          <w:p w:rsidR="00010F62" w:rsidRDefault="00010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Idem</w:t>
            </w:r>
          </w:p>
          <w:p w:rsidR="00010F62" w:rsidRDefault="00010F62">
            <w:pPr>
              <w:rPr>
                <w:sz w:val="20"/>
                <w:szCs w:val="20"/>
              </w:rPr>
            </w:pPr>
          </w:p>
          <w:p w:rsidR="00010F62" w:rsidRDefault="00010F62">
            <w:pPr>
              <w:rPr>
                <w:sz w:val="20"/>
                <w:szCs w:val="20"/>
              </w:rPr>
            </w:pPr>
          </w:p>
          <w:p w:rsidR="00010F62" w:rsidRDefault="00010F62">
            <w:pPr>
              <w:rPr>
                <w:sz w:val="20"/>
                <w:szCs w:val="20"/>
              </w:rPr>
            </w:pPr>
          </w:p>
          <w:p w:rsidR="00010F62" w:rsidRPr="00CD184B" w:rsidRDefault="00010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Bij afwezigheid van verzegeld broed</w:t>
            </w:r>
          </w:p>
          <w:p w:rsidR="00B17D93" w:rsidRPr="00CD184B" w:rsidRDefault="00B17D93">
            <w:pPr>
              <w:rPr>
                <w:sz w:val="20"/>
                <w:szCs w:val="20"/>
              </w:rPr>
            </w:pPr>
          </w:p>
        </w:tc>
        <w:tc>
          <w:tcPr>
            <w:tcW w:w="4307" w:type="dxa"/>
          </w:tcPr>
          <w:p w:rsidR="00CE4ECA" w:rsidRPr="00A02289" w:rsidRDefault="00BE4419" w:rsidP="00BE4419">
            <w:pPr>
              <w:jc w:val="center"/>
              <w:rPr>
                <w:sz w:val="20"/>
                <w:szCs w:val="20"/>
                <w:lang w:val="en-US"/>
              </w:rPr>
            </w:pPr>
            <w:r w:rsidRPr="00A02289">
              <w:rPr>
                <w:sz w:val="20"/>
                <w:szCs w:val="20"/>
                <w:lang w:val="en-US"/>
              </w:rPr>
              <w:t xml:space="preserve">Apilife Var </w:t>
            </w:r>
          </w:p>
          <w:p w:rsidR="00C90A9B" w:rsidRPr="006D5BD5" w:rsidRDefault="00C90A9B" w:rsidP="00BE441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F032E" w:rsidRPr="006D5BD5" w:rsidRDefault="00BF032E" w:rsidP="00BE441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F032E" w:rsidRPr="006D5BD5" w:rsidRDefault="00BF032E" w:rsidP="00BE441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90A9B" w:rsidRPr="00A02289" w:rsidRDefault="00C90A9B" w:rsidP="00BE4419">
            <w:pPr>
              <w:jc w:val="center"/>
              <w:rPr>
                <w:sz w:val="20"/>
                <w:szCs w:val="20"/>
                <w:lang w:val="en-US"/>
              </w:rPr>
            </w:pPr>
            <w:r w:rsidRPr="00A02289">
              <w:rPr>
                <w:sz w:val="20"/>
                <w:szCs w:val="20"/>
                <w:lang w:val="en-US"/>
              </w:rPr>
              <w:t xml:space="preserve">Thymovar </w:t>
            </w:r>
          </w:p>
          <w:p w:rsidR="00364C8E" w:rsidRPr="006D5BD5" w:rsidRDefault="00364C8E" w:rsidP="00BE441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64C8E" w:rsidRDefault="00364C8E" w:rsidP="00BE441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87C66" w:rsidRDefault="00B87C66" w:rsidP="00BE441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87C66" w:rsidRPr="006D5BD5" w:rsidRDefault="00B87C66" w:rsidP="00BE441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64C8E" w:rsidRDefault="00364C8E" w:rsidP="00010F62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02289">
              <w:rPr>
                <w:sz w:val="20"/>
                <w:szCs w:val="20"/>
                <w:lang w:val="en-US"/>
              </w:rPr>
              <w:t>Polyvar</w:t>
            </w:r>
            <w:proofErr w:type="spellEnd"/>
            <w:r w:rsidRPr="00A02289">
              <w:rPr>
                <w:sz w:val="20"/>
                <w:szCs w:val="20"/>
                <w:lang w:val="en-US"/>
              </w:rPr>
              <w:t xml:space="preserve"> Yellow </w:t>
            </w:r>
          </w:p>
          <w:p w:rsidR="00010F62" w:rsidRDefault="00010F62" w:rsidP="00010F6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0F62" w:rsidRDefault="00010F62" w:rsidP="00010F6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0F62" w:rsidRDefault="00010F62" w:rsidP="00010F6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0F62" w:rsidRPr="00A02289" w:rsidRDefault="00010F62" w:rsidP="00010F62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Oxuvar</w:t>
            </w:r>
            <w:proofErr w:type="spellEnd"/>
          </w:p>
        </w:tc>
        <w:tc>
          <w:tcPr>
            <w:tcW w:w="3499" w:type="dxa"/>
          </w:tcPr>
          <w:p w:rsidR="00CE4ECA" w:rsidRDefault="00BE4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behandeling herhalen indien er &gt; 1 </w:t>
            </w:r>
            <w:proofErr w:type="spellStart"/>
            <w:r>
              <w:rPr>
                <w:sz w:val="20"/>
                <w:szCs w:val="20"/>
              </w:rPr>
              <w:t>varroamijt</w:t>
            </w:r>
            <w:proofErr w:type="spellEnd"/>
            <w:r>
              <w:rPr>
                <w:sz w:val="20"/>
                <w:szCs w:val="20"/>
              </w:rPr>
              <w:t xml:space="preserve"> per dag valt (buitentemperatuur &gt; 15°C) </w:t>
            </w:r>
          </w:p>
          <w:p w:rsidR="00BF032E" w:rsidRDefault="00BF032E">
            <w:pPr>
              <w:rPr>
                <w:sz w:val="20"/>
                <w:szCs w:val="20"/>
              </w:rPr>
            </w:pPr>
          </w:p>
          <w:p w:rsidR="00C90A9B" w:rsidRDefault="00364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plaatjes één keer vervangen na 3-4 weken (Buitentemperatuur &gt; 15°C)</w:t>
            </w:r>
          </w:p>
          <w:p w:rsidR="00BF032E" w:rsidRDefault="00BF032E">
            <w:pPr>
              <w:rPr>
                <w:sz w:val="20"/>
                <w:szCs w:val="20"/>
              </w:rPr>
            </w:pPr>
          </w:p>
          <w:p w:rsidR="00BF032E" w:rsidRDefault="00364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Tijdens de vliegperiode gedurende 9 weken aan de ingang van de bijenkast</w:t>
            </w:r>
          </w:p>
          <w:p w:rsidR="00010F62" w:rsidRPr="00CD184B" w:rsidRDefault="00010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enkele behandeling</w:t>
            </w:r>
          </w:p>
        </w:tc>
        <w:tc>
          <w:tcPr>
            <w:tcW w:w="3499" w:type="dxa"/>
          </w:tcPr>
          <w:p w:rsidR="00CE4ECA" w:rsidRPr="00BF032E" w:rsidRDefault="00BE44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Thymol</w:t>
            </w:r>
            <w:proofErr w:type="spellEnd"/>
            <w:r>
              <w:rPr>
                <w:sz w:val="20"/>
                <w:szCs w:val="20"/>
              </w:rPr>
              <w:t xml:space="preserve"> 8,00 g + Kamfer 0,3 g</w:t>
            </w:r>
          </w:p>
          <w:p w:rsidR="00C90A9B" w:rsidRPr="00A02289" w:rsidRDefault="00C90A9B">
            <w:pPr>
              <w:rPr>
                <w:sz w:val="20"/>
                <w:szCs w:val="20"/>
              </w:rPr>
            </w:pPr>
          </w:p>
          <w:p w:rsidR="00BF032E" w:rsidRPr="00A02289" w:rsidRDefault="00BF032E">
            <w:pPr>
              <w:rPr>
                <w:sz w:val="20"/>
                <w:szCs w:val="20"/>
              </w:rPr>
            </w:pPr>
          </w:p>
          <w:p w:rsidR="00BF032E" w:rsidRPr="00A02289" w:rsidRDefault="00BF032E">
            <w:pPr>
              <w:rPr>
                <w:sz w:val="20"/>
                <w:szCs w:val="20"/>
              </w:rPr>
            </w:pPr>
          </w:p>
          <w:p w:rsidR="00C90A9B" w:rsidRPr="00BF032E" w:rsidRDefault="00C90A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Thymol</w:t>
            </w:r>
            <w:proofErr w:type="spellEnd"/>
            <w:r>
              <w:rPr>
                <w:sz w:val="20"/>
                <w:szCs w:val="20"/>
              </w:rPr>
              <w:t xml:space="preserve"> 15,00 g </w:t>
            </w:r>
          </w:p>
          <w:p w:rsidR="00364C8E" w:rsidRPr="00A02289" w:rsidRDefault="00364C8E">
            <w:pPr>
              <w:rPr>
                <w:sz w:val="20"/>
                <w:szCs w:val="20"/>
              </w:rPr>
            </w:pPr>
          </w:p>
          <w:p w:rsidR="00B87C66" w:rsidRPr="00A02289" w:rsidRDefault="00B87C66">
            <w:pPr>
              <w:rPr>
                <w:sz w:val="20"/>
                <w:szCs w:val="20"/>
              </w:rPr>
            </w:pPr>
          </w:p>
          <w:p w:rsidR="00364C8E" w:rsidRPr="00A02289" w:rsidRDefault="00364C8E">
            <w:pPr>
              <w:rPr>
                <w:sz w:val="20"/>
                <w:szCs w:val="20"/>
              </w:rPr>
            </w:pPr>
          </w:p>
          <w:p w:rsidR="00364C8E" w:rsidRDefault="00364C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Flumethrine</w:t>
            </w:r>
            <w:proofErr w:type="spellEnd"/>
            <w:r>
              <w:rPr>
                <w:sz w:val="20"/>
                <w:szCs w:val="20"/>
              </w:rPr>
              <w:t xml:space="preserve"> 275 mg</w:t>
            </w:r>
          </w:p>
          <w:p w:rsidR="00010F62" w:rsidRDefault="00010F62">
            <w:pPr>
              <w:rPr>
                <w:sz w:val="20"/>
                <w:szCs w:val="20"/>
              </w:rPr>
            </w:pPr>
          </w:p>
          <w:p w:rsidR="00010F62" w:rsidRDefault="00010F62">
            <w:pPr>
              <w:rPr>
                <w:sz w:val="20"/>
                <w:szCs w:val="20"/>
              </w:rPr>
            </w:pPr>
          </w:p>
          <w:p w:rsidR="00010F62" w:rsidRDefault="00010F62">
            <w:pPr>
              <w:rPr>
                <w:sz w:val="20"/>
                <w:szCs w:val="20"/>
              </w:rPr>
            </w:pPr>
          </w:p>
          <w:p w:rsidR="00010F62" w:rsidRPr="00BF032E" w:rsidRDefault="00010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Oxaalzuur</w:t>
            </w:r>
          </w:p>
        </w:tc>
      </w:tr>
      <w:tr w:rsidR="00364C8E" w:rsidTr="00B17D93">
        <w:tc>
          <w:tcPr>
            <w:tcW w:w="2689" w:type="dxa"/>
          </w:tcPr>
          <w:p w:rsidR="00364C8E" w:rsidRPr="000C6203" w:rsidRDefault="00364C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Einde zomer/herfst</w:t>
            </w:r>
          </w:p>
          <w:p w:rsidR="00364C8E" w:rsidRPr="00CD184B" w:rsidRDefault="00364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de laatste drachtperiode</w:t>
            </w:r>
          </w:p>
        </w:tc>
        <w:tc>
          <w:tcPr>
            <w:tcW w:w="4307" w:type="dxa"/>
          </w:tcPr>
          <w:p w:rsidR="00364C8E" w:rsidRDefault="00364C8E" w:rsidP="00BE44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Apivar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64C8E" w:rsidRDefault="00BF032E" w:rsidP="00BE44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VaroMed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99" w:type="dxa"/>
          </w:tcPr>
          <w:p w:rsidR="00364C8E" w:rsidRDefault="00BF0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BF032E" w:rsidRDefault="00257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Behandelingen met 6 dagen interval (indien &gt; 4 </w:t>
            </w:r>
            <w:proofErr w:type="spellStart"/>
            <w:r>
              <w:rPr>
                <w:sz w:val="20"/>
                <w:szCs w:val="20"/>
              </w:rPr>
              <w:lastRenderedPageBreak/>
              <w:t>varroamijten</w:t>
            </w:r>
            <w:proofErr w:type="spellEnd"/>
            <w:r>
              <w:rPr>
                <w:sz w:val="20"/>
                <w:szCs w:val="20"/>
              </w:rPr>
              <w:t xml:space="preserve"> per dag zijn gevallen)</w:t>
            </w:r>
          </w:p>
          <w:p w:rsidR="00010F62" w:rsidRDefault="00010F62">
            <w:pPr>
              <w:rPr>
                <w:sz w:val="20"/>
                <w:szCs w:val="20"/>
              </w:rPr>
            </w:pPr>
            <w:r w:rsidRPr="00010F62">
              <w:rPr>
                <w:sz w:val="20"/>
                <w:szCs w:val="20"/>
              </w:rPr>
              <w:t>Deze behandeling kan worden herhaald in geval van een zware plaag</w:t>
            </w:r>
            <w:r>
              <w:rPr>
                <w:sz w:val="20"/>
                <w:szCs w:val="20"/>
              </w:rPr>
              <w:t xml:space="preserve"> (&gt; 150 varroamijten)</w:t>
            </w:r>
            <w:bookmarkStart w:id="0" w:name="_GoBack"/>
            <w:bookmarkEnd w:id="0"/>
          </w:p>
        </w:tc>
        <w:tc>
          <w:tcPr>
            <w:tcW w:w="3499" w:type="dxa"/>
          </w:tcPr>
          <w:p w:rsidR="00364C8E" w:rsidRDefault="00364C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Amitraz</w:t>
            </w:r>
            <w:proofErr w:type="spellEnd"/>
            <w:r>
              <w:rPr>
                <w:sz w:val="20"/>
                <w:szCs w:val="20"/>
              </w:rPr>
              <w:t xml:space="preserve"> 500 mg</w:t>
            </w:r>
          </w:p>
          <w:p w:rsidR="00BF032E" w:rsidRDefault="00BF032E" w:rsidP="00BF0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Oxaalzuur 44 mg/Mierenzuur 5 mg</w:t>
            </w:r>
          </w:p>
          <w:p w:rsidR="00BF032E" w:rsidRDefault="00BF032E">
            <w:pPr>
              <w:rPr>
                <w:sz w:val="20"/>
                <w:szCs w:val="20"/>
              </w:rPr>
            </w:pPr>
          </w:p>
        </w:tc>
      </w:tr>
      <w:tr w:rsidR="00CE4ECA" w:rsidTr="00257633">
        <w:trPr>
          <w:trHeight w:val="43"/>
        </w:trPr>
        <w:tc>
          <w:tcPr>
            <w:tcW w:w="2689" w:type="dxa"/>
          </w:tcPr>
          <w:p w:rsidR="00CE4ECA" w:rsidRPr="00D1072F" w:rsidRDefault="00B17D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Winter</w:t>
            </w:r>
          </w:p>
          <w:p w:rsidR="00BE4419" w:rsidRPr="00D1072F" w:rsidRDefault="00BE4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Bij afwezigheid van broed</w:t>
            </w:r>
          </w:p>
          <w:p w:rsidR="00BE4419" w:rsidRPr="00CD184B" w:rsidRDefault="00BE4419">
            <w:pPr>
              <w:rPr>
                <w:sz w:val="20"/>
                <w:szCs w:val="20"/>
              </w:rPr>
            </w:pPr>
          </w:p>
        </w:tc>
        <w:tc>
          <w:tcPr>
            <w:tcW w:w="4307" w:type="dxa"/>
          </w:tcPr>
          <w:p w:rsidR="00CE4ECA" w:rsidRDefault="00F41A0E" w:rsidP="00F41A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VarroMed</w:t>
            </w:r>
            <w:proofErr w:type="spellEnd"/>
          </w:p>
          <w:p w:rsidR="00B87C66" w:rsidRDefault="00B87C66" w:rsidP="00F41A0E">
            <w:pPr>
              <w:jc w:val="center"/>
              <w:rPr>
                <w:sz w:val="20"/>
                <w:szCs w:val="20"/>
              </w:rPr>
            </w:pPr>
          </w:p>
          <w:p w:rsidR="00F41A0E" w:rsidRDefault="00F41A0E" w:rsidP="00F41A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OxyBee</w:t>
            </w:r>
            <w:proofErr w:type="spellEnd"/>
          </w:p>
          <w:p w:rsidR="00B87C66" w:rsidRDefault="00B87C66" w:rsidP="00F41A0E">
            <w:pPr>
              <w:jc w:val="center"/>
              <w:rPr>
                <w:sz w:val="20"/>
                <w:szCs w:val="20"/>
              </w:rPr>
            </w:pPr>
          </w:p>
          <w:p w:rsidR="00BE4419" w:rsidRPr="00CD184B" w:rsidRDefault="00BE4419" w:rsidP="00F41A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Oxuvar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3499" w:type="dxa"/>
          </w:tcPr>
          <w:p w:rsidR="00CE4ECA" w:rsidRDefault="00F41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enkele behandeling </w:t>
            </w:r>
          </w:p>
          <w:p w:rsidR="00B87C66" w:rsidRDefault="00B87C66">
            <w:pPr>
              <w:rPr>
                <w:sz w:val="20"/>
                <w:szCs w:val="20"/>
              </w:rPr>
            </w:pPr>
          </w:p>
          <w:p w:rsidR="00F41A0E" w:rsidRDefault="00F41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enkele behandeling (Buitentemperatuur &gt; 3°C)</w:t>
            </w:r>
          </w:p>
          <w:p w:rsidR="00BE4419" w:rsidRPr="00CD184B" w:rsidRDefault="00BE4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enkele behandeling (Buitentemperatuur &gt; 5°C)</w:t>
            </w:r>
          </w:p>
        </w:tc>
        <w:tc>
          <w:tcPr>
            <w:tcW w:w="3499" w:type="dxa"/>
          </w:tcPr>
          <w:p w:rsidR="00CE4ECA" w:rsidRDefault="00F41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Oxaalzuur 44mg/Mierenzuur 5 mg</w:t>
            </w:r>
          </w:p>
          <w:p w:rsidR="00F41A0E" w:rsidRDefault="00F41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Oxaalzuur </w:t>
            </w:r>
          </w:p>
          <w:p w:rsidR="00B87C66" w:rsidRDefault="00B87C66">
            <w:pPr>
              <w:rPr>
                <w:sz w:val="20"/>
                <w:szCs w:val="20"/>
              </w:rPr>
            </w:pPr>
          </w:p>
          <w:p w:rsidR="00BE4419" w:rsidRDefault="00BE4419" w:rsidP="00BE4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Oxaalzuur</w:t>
            </w:r>
          </w:p>
          <w:p w:rsidR="00BE4419" w:rsidRPr="00CD184B" w:rsidRDefault="00BE4419">
            <w:pPr>
              <w:rPr>
                <w:sz w:val="20"/>
                <w:szCs w:val="20"/>
              </w:rPr>
            </w:pPr>
          </w:p>
        </w:tc>
      </w:tr>
    </w:tbl>
    <w:p w:rsidR="00CE4ECA" w:rsidRDefault="000C6203">
      <w:r>
        <w:t xml:space="preserve">De volledige aanbevelingen zijn beschikbaar op de website  </w:t>
      </w:r>
      <w:hyperlink r:id="rId5" w:anchor="varroase" w:history="1">
        <w:r>
          <w:rPr>
            <w:rStyle w:val="Lienhypertexte"/>
          </w:rPr>
          <w:t>http://www.favv-afsca.fgov.be/bijenteelt/dierengezondheid/</w:t>
        </w:r>
      </w:hyperlink>
    </w:p>
    <w:sectPr w:rsidR="00CE4ECA" w:rsidSect="000C6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835C4"/>
    <w:multiLevelType w:val="hybridMultilevel"/>
    <w:tmpl w:val="B56EF0A2"/>
    <w:lvl w:ilvl="0" w:tplc="CD640D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ECA"/>
    <w:rsid w:val="00010F62"/>
    <w:rsid w:val="00082268"/>
    <w:rsid w:val="000C6203"/>
    <w:rsid w:val="001A5D6A"/>
    <w:rsid w:val="00257633"/>
    <w:rsid w:val="002F29E4"/>
    <w:rsid w:val="00322BE6"/>
    <w:rsid w:val="00364C8E"/>
    <w:rsid w:val="003A1882"/>
    <w:rsid w:val="00562181"/>
    <w:rsid w:val="005E2AEB"/>
    <w:rsid w:val="006D5BD5"/>
    <w:rsid w:val="006E0987"/>
    <w:rsid w:val="00741452"/>
    <w:rsid w:val="00794190"/>
    <w:rsid w:val="00927D2E"/>
    <w:rsid w:val="00956AC3"/>
    <w:rsid w:val="009B3CCB"/>
    <w:rsid w:val="00A00F32"/>
    <w:rsid w:val="00A02289"/>
    <w:rsid w:val="00AD1DC3"/>
    <w:rsid w:val="00B17D93"/>
    <w:rsid w:val="00B87C66"/>
    <w:rsid w:val="00BE4419"/>
    <w:rsid w:val="00BF032E"/>
    <w:rsid w:val="00C90A9B"/>
    <w:rsid w:val="00CD184B"/>
    <w:rsid w:val="00CE4ECA"/>
    <w:rsid w:val="00CF0796"/>
    <w:rsid w:val="00D1072F"/>
    <w:rsid w:val="00F41A0E"/>
    <w:rsid w:val="00FC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2060"/>
  <w15:chartTrackingRefBased/>
  <w15:docId w15:val="{1E3361E9-3AE9-4F9D-BB76-3E1BCCA2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E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17D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C620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C620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6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6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vv.be/bijenteelt/dierengezondhei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479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Patigny Xavier</dc:creator>
  <cp:keywords/>
  <dc:description/>
  <cp:lastModifiedBy>Patigny Xavier</cp:lastModifiedBy>
  <cp:revision>3</cp:revision>
  <dcterms:created xsi:type="dcterms:W3CDTF">2020-03-23T08:20:00Z</dcterms:created>
  <dcterms:modified xsi:type="dcterms:W3CDTF">2020-03-24T14:10:00Z</dcterms:modified>
</cp:coreProperties>
</file>